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17.05.2019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0908/02/19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ООО "СК "ТПМ"</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
                <w:p>
                  <w:r>
                    <w:t>Общество с ограниченной ответственностью "Строительная компания "ТеплоПромМонтаж"; ООО "СК "ТПМ"</w:t>
                  </w:r>
                </w:p>
              </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
                <w:p>
                  <w:r>
                    <w:t>5905056256</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
                <w:p>
                  <w:r>
                    <w:t>1185958004374</w:t>
                  </w:r>
                </w:p>
              </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
                <w:p>
                  <w:r>
                    <w:t>614065, Российская Федерация, Пермский край , Пермь, 2-й Белоярский переулок, 5, помещение офис 305</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
                <w:p>
                  <w:r>
                    <w:t>0908</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
                <w:p>
                  <w:r>
                    <w:t>29.04.2019</w:t>
                  </w:r>
                </w:p>
              </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
                <w:p>
                  <w:r>
                    <w:t>25.04.2019, Протокол ГПС № 16-19</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29.04.2019</w:t>
                  </w:r>
                </w:p>
              </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
                      <w:p>
                        <w:r>
                          <w:t>29.04.2019</w:t>
                        </w:r>
                      </w:p>
                    </w:t>
                  </w:r>
                </w:p>
              </w:tc>
              <w:tc>
                <w:tcPr>
                  <w:tcW w:w="3147" w:type="dxa"/>
                </w:tcPr>
                <w:p w:rsidR="00A54612" w:rsidRPr="00AD6F3D" w:rsidRDefault="00C93195" w:rsidP="008D6A38">
                  <w:pPr>
                    <w:jc w:val="center"/>
                    <w:rPr>
                      <w:b/>
                      <w:szCs w:val="28"/>
                    </w:rPr>
                  </w:pPr>
                  <w:r w:rsidRPr="000F3D81">
                    <w:rPr>
                      <w:szCs w:val="28"/>
                    </w:rPr>
                    <w:t>
                      <w:p>
                        <w:r>
                          <w:t>29.04.2019</w:t>
                        </w:r>
                      </w:p>
                    </w:t>
                  </w:r>
                </w:p>
              </w:tc>
              <w:tc>
                <w:tcPr>
                  <w:tcW w:w="3147" w:type="dxa"/>
                </w:tcPr>
                <w:p w:rsidR="00A54612" w:rsidRPr="000F3D81" w:rsidRDefault="00C93195" w:rsidP="008D6A38">
                  <w:pPr>
                    <w:jc w:val="center"/>
                    <w:rPr>
                      <w:szCs w:val="28"/>
                    </w:rPr>
                  </w:pPr>
                  <w:r w:rsidRPr="000F3D81">
                    <w:rPr>
                      <w:szCs w:val="28"/>
                    </w:rPr>
                    <w:t>
                      <w:p>
                        <w:r>
                          <w:t>не имеет право</w:t>
                        </w:r>
                      </w:p>
                    </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p>
                        <w:r>
                          <w:t>V</w:t>
                        </w:r>
                      </w:p>
                    </w:t>
                  </w:r>
                </w:p>
              </w:tc>
              <w:tc>
                <w:tcPr>
                  <w:tcW w:w="5931" w:type="dxa"/>
                </w:tcPr>
                <w:p w:rsidR="00C93195" w:rsidRPr="003D5090" w:rsidRDefault="00C93195" w:rsidP="00AD3DB2">
                  <w:pPr>
                    <w:rPr>
                      <w:szCs w:val="28"/>
                    </w:rPr>
                  </w:pPr>
                  <w:r>
                    <w:rPr>
                      <w:szCs w:val="28"/>
                    </w:rPr>
                    <w:t>
                      <w:p>
                        <w:r>
                          <w:t>не превышает 60 000 000 рублей</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
                <w:p>
                  <w:r>
                    <w:t>-----------------------------------</w:t>
                  </w:r>
                </w:p>
                <w:p>
                  <w:r>
                    <w:t>Имеет в штате 2 специалистов, включенных в Национальный Реестр Специалистов (НРС):</w:t>
                  </w:r>
                </w:p>
                <w:p>
                  <w:r>
                    <w:t>С-59-060595 Козич Юрий Алексеевич</w:t>
                  </w:r>
                </w:p>
                <w:p>
                  <w:r>
                    <w:t>С-59-040727 Кротов Сергей Александрович</w:t>
                  </w:r>
                </w:p>
              </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
                <w:p>
                  <w:r>
                    <w:t>-----------------------------------</w:t>
                  </w:r>
                </w:p>
              </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