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0042/02/19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5904192263</w:t>
                  </w:r>
                </w:p>
                <w:p>
                  <w:r>
                    <w:t>Полное наименование: Общество с ограниченной ответственностью "ЭнергоСтройИнжиниринг"</w:t>
                  </w:r>
                </w:p>
                <w:p>
                  <w:r>
                    <w:t>Краткое наименование: ООО "ЭнергоСтройИнжиниринг"</w:t>
                  </w:r>
                </w:p>
                <w:p>
                  <w:r>
                    <w:t>Адрес: 614039, РФ, Пермский край , г. Пермь, ул. Пушкина, д. 84, помещение этаж 3</w:t>
                  </w:r>
                </w:p>
                <w:p>
                  <w:r>
                    <w:t>№ в реестре членов: 0042</w:t>
                  </w:r>
                </w:p>
                <w:p>
                  <w:r>
                    <w:t>Зарегистрирован в реестре: 18.02.2010</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05-10 от 18.02.2010</w:t>
                  </w:r>
                </w:p>
                <w:p>
                  <w:r>
                    <w:t>Дата вступления в силу: 18.02.2010</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13.03.2019: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С-59-107116 Соловов Александр Иванович</w:t>
                  </w:r>
                </w:p>
                <w:p>
                  <w:r>
                    <w:t>С-59-028282 Рыбин Александр Сергеевич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