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10.05.2018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0396/05/18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5902115094</w:t>
                  </w:r>
                </w:p>
                <w:p>
                  <w:r>
                    <w:t>Полное наименование: Акционерное общество "Генподрядная строительная фирма "Консорциум "Западный Урал"</w:t>
                  </w:r>
                </w:p>
                <w:p>
                  <w:r>
                    <w:t>Краткое наименование: АО "ГСФК "Западный Урал"</w:t>
                  </w:r>
                </w:p>
                <w:p>
                  <w:r>
                    <w:t>Адрес: 614000, РФ, Пермский край , г. Пермь, ул. Пермская, д. 126, А</w:t>
                  </w:r>
                </w:p>
                <w:p>
                  <w:r>
                    <w:t>№ в реестре членов: 0396</w:t>
                  </w:r>
                </w:p>
                <w:p>
                  <w:r>
                    <w:t>Зарегистрирован в реестре: 14.11.2016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51-17 от 11.09.2017</w:t>
                  </w:r>
                </w:p>
                <w:p>
                  <w:r>
                    <w:t>Дата вступления в силу: 01.07.2017</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10.05.2018: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С-59-010217 Долин Игорь Александрович</w:t>
                  </w:r>
                </w:p>
                <w:p>
                  <w:r>
                    <w:t>С-59-010218 Семухин Денис Викторович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