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29.10.2019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0620/03/19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"Сивил инжиниринг"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"Сивил инжиниринг"; ООО "СИ" (Сивил Инжиниринг)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5902231372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1135902000420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614007, РФ, Пермский край , г. Пермь, Николая Островского, д.60, оф. 406/1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0620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22.06.2017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22.06.2017, Протокол ГПС № 32-17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22.06.2017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-----------------------------------Имеет в штате 2 специалистов, включенных в Национальный Реестр Специалистов (НРС).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