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21.05.2019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0891/01/19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ООО "АК СПЕЦ СЕРВИС"</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
                <w:p>
                  <w:r>
                    <w:t>Общество с ограниченной ответственностью "АК СПЕЦ СЕРВИС"; ООО "АК СПЕЦ СЕРВИС"</w:t>
                  </w:r>
                </w:p>
              </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
                <w:p>
                  <w:r>
                    <w:t>8905058837</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
                <w:p>
                  <w:r>
                    <w:t>1158905011154</w:t>
                  </w:r>
                </w:p>
              </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
                <w:p>
                  <w:r>
                    <w:t>614039, Российская Федерация, Пермский край , Пермь, Революции, д. 30, помещение офис 7</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
                <w:p>
                  <w:r>
                    <w:t>0891</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
                <w:p>
                  <w:r>
                    <w:t>18.02.2019</w:t>
                  </w:r>
                </w:p>
              </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
                <w:p>
                  <w:r>
                    <w:t>14.02.2019, Протокол ГПС № 06-19</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18.02.2019</w:t>
                  </w:r>
                </w:p>
              </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
                <w:p>
                  <w:r>
                    <w:t>-----------------------------------</w:t>
                  </w:r>
                </w:p>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
                <w:p>
                  <w:r>
                    <w:t>-----------------------------------</w:t>
                  </w:r>
                </w:p>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
                      <w:p>
                        <w:r>
                          <w:t>18.02.2019</w:t>
                        </w:r>
                      </w:p>
                    </w:t>
                  </w:r>
                </w:p>
              </w:tc>
              <w:tc>
                <w:tcPr>
                  <w:tcW w:w="3147" w:type="dxa"/>
                </w:tcPr>
                <w:p w:rsidR="00A54612" w:rsidRPr="00AD6F3D" w:rsidRDefault="00C93195" w:rsidP="008D6A38">
                  <w:pPr>
                    <w:jc w:val="center"/>
                    <w:rPr>
                      <w:b/>
                      <w:szCs w:val="28"/>
                    </w:rPr>
                  </w:pPr>
                  <w:r w:rsidRPr="000F3D81">
                    <w:rPr>
                      <w:szCs w:val="28"/>
                    </w:rPr>
                    <w:t>
                      <w:p>
                        <w:r>
                          <w:t>не имеет право</w:t>
                        </w:r>
                      </w:p>
                    </w:t>
                  </w:r>
                </w:p>
              </w:tc>
              <w:tc>
                <w:tcPr>
                  <w:tcW w:w="3147" w:type="dxa"/>
                </w:tcPr>
                <w:p w:rsidR="00A54612" w:rsidRPr="000F3D81" w:rsidRDefault="00C93195" w:rsidP="008D6A38">
                  <w:pPr>
                    <w:jc w:val="center"/>
                    <w:rPr>
                      <w:szCs w:val="28"/>
                    </w:rPr>
                  </w:pPr>
                  <w:r w:rsidRPr="000F3D81">
                    <w:rPr>
                      <w:szCs w:val="28"/>
                    </w:rPr>
                    <w:t>
                      <w:p>
                        <w:r>
                          <w:t>не имеет право</w:t>
                        </w:r>
                      </w:p>
                    </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p>
                        <w:r>
                          <w:t>V</w:t>
                        </w:r>
                      </w:p>
                    </w:t>
                  </w:r>
                </w:p>
              </w:tc>
              <w:tc>
                <w:tcPr>
                  <w:tcW w:w="5931" w:type="dxa"/>
                </w:tcPr>
                <w:p w:rsidR="00C93195" w:rsidRPr="003D5090" w:rsidRDefault="00C93195" w:rsidP="00AD3DB2">
                  <w:pPr>
                    <w:rPr>
                      <w:szCs w:val="28"/>
                    </w:rPr>
                  </w:pPr>
                  <w:r>
                    <w:rPr>
                      <w:szCs w:val="28"/>
                    </w:rPr>
                    <w:t>
                      <w:p>
                        <w:r>
                          <w:t>не превышает 60 000 000 рублей</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
                      <w:p>
                        <w:r>
                          <w:t>-----------------------------------</w:t>
                        </w:r>
                      </w:p>
                    </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
                <w:p>
                  <w:r>
                    <w:t>-----------------------------------</w:t>
                  </w:r>
                </w:p>
                <w:p>
                  <w:r>
                    <w:t>Имеет в штате 2 специалистов, включенных в Национальный Реестр Специалистов (НРС):</w:t>
                  </w:r>
                </w:p>
                <w:p>
                  <w:r>
                    <w:t>С-02-180877 Ишметов Марат Фанусович</w:t>
                  </w:r>
                </w:p>
                <w:p>
                  <w:r>
                    <w:t>С-16-180905 Рогозин Александр Анатольевич</w:t>
                  </w:r>
                </w:p>
              </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
                <w:p>
                  <w:r>
                    <w:t>-----------------------------------</w:t>
                  </w:r>
                </w:p>
              </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