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0343/02/18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5903126148</w:t>
                  </w:r>
                </w:p>
                <w:p>
                  <w:r>
                    <w:t>Полное наименование: Общество с ограниченной ответственностью "Аскров"</w:t>
                  </w:r>
                </w:p>
                <w:p>
                  <w:r>
                    <w:t>Краткое наименование: ООО "Аскров"</w:t>
                  </w:r>
                </w:p>
                <w:p>
                  <w:r>
                    <w:t>Адрес: 614094, РФ, Пермский край , г. Пермь, ул. Овчинникова, д. 10, помещение офис 302</w:t>
                  </w:r>
                </w:p>
                <w:p>
                  <w:r>
                    <w:t>№ в реестре членов: 0343</w:t>
                  </w:r>
                </w:p>
                <w:p>
                  <w:r>
                    <w:t>Зарегистрирован в реестре: 23.08.2016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37-16 от 23.08.2016</w:t>
                  </w:r>
                </w:p>
                <w:p>
                  <w:r>
                    <w:t>Дата вступления в силу: 23.08.2016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С-59-040732 Урванцев Андрей Алексеевич</w:t>
                  </w:r>
                </w:p>
                <w:p>
                  <w:r>
                    <w:t>С-59-040752 Ехлаков Владимир Дмитриевич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