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27.08.2019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0781/03/19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"Промстройтехнология"</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"Промстройтехнология"; ООО "Промстройтехнология"</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5906108154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1115906003850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614000, РФ, Пермский край , г. Пермь, ул. Бульвар Гагарина, д.28, оф. 309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0781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08.05.2018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29.03.2018, Протокол ГПС № 15-18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08.05.2018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08.05.2018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500 000 000 рублей</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(НРС):С-59-199919 Максимов Андрей СтаниславовичС-59-133091 Симушев Сергей Викторович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