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17.05.2019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0719/03/19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ООО "Бизнес - 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
                <w:p>
                  <w:r>
                    <w:t>Общество с ограниченной ответственностью "Бизнес - Строй"; ООО "Бизнес - Строй"</w:t>
                  </w:r>
                </w:p>
              </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
                <w:p>
                  <w:r>
                    <w:t>5903080790</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
                <w:p>
                  <w:r>
                    <w:t>1075903006673</w:t>
                  </w:r>
                </w:p>
              </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
                <w:p>
                  <w:r>
                    <w:t>614094, РФ, Пермский край , г. Пермь, ул. Ижевская, д. 32</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
                <w:p>
                  <w:r>
                    <w:t>0719</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
                <w:p>
                  <w:r>
                    <w:t>21.02.2018</w:t>
                  </w:r>
                </w:p>
              </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
                <w:p>
                  <w:r>
                    <w:t>30.11.2017, Протокол ГПС № 69-17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21.02.2018</w:t>
                  </w:r>
                </w:p>
              </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
                      <w:p>
                        <w:r>
                          <w:t>21.02.2018</w:t>
                        </w:r>
                      </w:p>
                    </w:t>
                  </w:r>
                </w:p>
              </w:tc>
              <w:tc>
                <w:tcPr>
                  <w:tcW w:w="3147" w:type="dxa"/>
                </w:tcPr>
                <w:p w:rsidR="00A54612" w:rsidRPr="00AD6F3D" w:rsidRDefault="00C93195" w:rsidP="008D6A38">
                  <w:pPr>
                    <w:jc w:val="center"/>
                    <w:rPr>
                      <w:b/>
                      <w:szCs w:val="28"/>
                    </w:rPr>
                  </w:pPr>
                  <w:r w:rsidRPr="000F3D81">
                    <w:rPr>
                      <w:szCs w:val="28"/>
                    </w:rPr>
                    <w:t>
                      <w:p>
                        <w:r>
                          <w:t>не имеет право</w:t>
                        </w:r>
                      </w:p>
                    </w:t>
                  </w:r>
                </w:p>
              </w:tc>
              <w:tc>
                <w:tcPr>
                  <w:tcW w:w="3147" w:type="dxa"/>
                </w:tcPr>
                <w:p w:rsidR="00A54612" w:rsidRPr="000F3D81" w:rsidRDefault="00C93195" w:rsidP="008D6A38">
                  <w:pPr>
                    <w:jc w:val="center"/>
                    <w:rPr>
                      <w:szCs w:val="28"/>
                    </w:rPr>
                  </w:pPr>
                  <w:r w:rsidRPr="000F3D81">
                    <w:rPr>
                      <w:szCs w:val="28"/>
                    </w:rPr>
                    <w:t>
                      <w:p>
                        <w:r>
                          <w:t>не имеет право</w:t>
                        </w:r>
                      </w:p>
                    </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p>
                        <w:r>
                          <w:t>V</w:t>
                        </w:r>
                      </w:p>
                    </w:t>
                  </w:r>
                </w:p>
              </w:tc>
              <w:tc>
                <w:tcPr>
                  <w:tcW w:w="5931" w:type="dxa"/>
                </w:tcPr>
                <w:p w:rsidR="00C93195" w:rsidRPr="003D5090" w:rsidRDefault="00C93195" w:rsidP="00AD3DB2">
                  <w:pPr>
                    <w:rPr>
                      <w:szCs w:val="28"/>
                    </w:rPr>
                  </w:pPr>
                  <w:r>
                    <w:rPr>
                      <w:szCs w:val="28"/>
                    </w:rPr>
                    <w:t>
                      <w:p>
                        <w:r>
                          <w:t>не превышает 500 000 000 рублей</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p>
                        <w:r>
                          <w:t>V</w:t>
                        </w:r>
                      </w:p>
                    </w:t>
                  </w:r>
                </w:p>
              </w:tc>
              <w:tc>
                <w:tcPr>
                  <w:tcW w:w="5931" w:type="dxa"/>
                </w:tcPr>
                <w:p w:rsidR="00C93195" w:rsidRPr="003D5090" w:rsidRDefault="00C93195" w:rsidP="00AD3DB2">
                  <w:pPr>
                    <w:rPr>
                      <w:szCs w:val="28"/>
                    </w:rPr>
                  </w:pPr>
                  <w:r>
                    <w:rPr>
                      <w:szCs w:val="28"/>
                    </w:rPr>
                    <w:t>
                      <w:p>
                        <w:r>
                          <w:t>не превышает 500 000 000 рублей</w:t>
                        </w:r>
                      </w:p>
                      <w:p>
                        <w:r>
                          <w:t>По состоянию на 17.05.2019:</w:t>
                        </w:r>
                      </w:p>
                      <w:p>
                        <w:r>
                          <w:t>1. Общая сумма действующих договоров: 9 786 219.4 руб</w:t>
                        </w:r>
                      </w:p>
                      <w:p>
                        <w:r>
                          <w:t>2. Количество действующих договоров: 1</w:t>
                        </w:r>
                      </w:p>
                      <w:p>
                        <w:r>
                          <w:t>3. Сумма неисполненных обязательств: 3 951 219.4 руб</w:t>
                        </w:r>
                      </w:p>
                      <w:p>
                        <w:r>
                          <w:t>4. Победы в конкурентных процедурах на текущий момент: не обнаружено</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
                <w:p>
                  <w:r>
                    <w:t>-----------------------------------</w:t>
                  </w:r>
                </w:p>
                <w:p>
                  <w:r>
                    <w:t>Имеет в штате 2 специалистов, включенных в Национальный Реестр Специалистов (НРС):</w:t>
                  </w:r>
                </w:p>
                <w:p>
                  <w:r>
                    <w:t>С-59-049220 Клоян Отари Рафикович</w:t>
                  </w:r>
                </w:p>
                <w:p>
                  <w:r>
                    <w:t>С-59-049221 Погодин Дмитрий Анатольевич</w:t>
                  </w:r>
                </w:p>
              </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
                <w:p>
                  <w:r>
                    <w:t>-----------------------------------</w:t>
                  </w:r>
                </w:p>
              </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