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11.03.2019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0080/01/19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5921016324</w:t>
                  </w:r>
                </w:p>
                <w:p>
                  <w:r>
                    <w:t>Полное наименование: Общество с ограниченной ответственностью "Промышленная энергетическая компания"</w:t>
                  </w:r>
                </w:p>
                <w:p>
                  <w:r>
                    <w:t>Краткое наименование: ООО "Промэнерго"</w:t>
                  </w:r>
                </w:p>
                <w:p>
                  <w:r>
                    <w:t>Адрес: 618204, РФ, Пермский край , г. Чусовой, ул. 50 лет ВЛКСМ, 13В</w:t>
                  </w:r>
                </w:p>
                <w:p>
                  <w:r>
                    <w:t>№ в реестре членов: 0080</w:t>
                  </w:r>
                </w:p>
                <w:p>
                  <w:r>
                    <w:t>Зарегистрирован в реестре: 04.03.2010</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07-10 от 04.03.2010</w:t>
                  </w:r>
                </w:p>
                <w:p>
                  <w:r>
                    <w:t>Дата вступления в силу: 04.03.2010</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11.03.2019:</w:t>
                  </w:r>
                </w:p>
                <w:p>
                  <w:r>
                    <w:t>1. Общая сумма действующих договоров:  4 854 296,55  руб</w:t>
                  </w:r>
                </w:p>
                <w:p>
                  <w:r>
                    <w:t>2. Количество действующих договоров: 2</w:t>
                  </w:r>
                </w:p>
                <w:p>
                  <w:r>
                    <w:t>3. Сумма неисполненных обязательств: 4 854 296,55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С-59-019531 Смирнов Олег Вячеславович</w:t>
                  </w:r>
                </w:p>
                <w:p>
                  <w:r>
                    <w:t>С-59-166936 Береснев Сергей Витальевич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